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ind w:left="420"/>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构建市场导向的绿色技术创新体系路线图、时间表</w:t>
      </w:r>
      <w:bookmarkStart w:id="0" w:name="_GoBack"/>
      <w:bookmarkEnd w:id="0"/>
    </w:p>
    <w:tbl>
      <w:tblPr>
        <w:tblStyle w:val="2"/>
        <w:tblW w:w="9575" w:type="dxa"/>
        <w:jc w:val="center"/>
        <w:tblInd w:w="-591" w:type="dxa"/>
        <w:tblLayout w:type="fixed"/>
        <w:tblCellMar>
          <w:top w:w="0" w:type="dxa"/>
          <w:left w:w="108" w:type="dxa"/>
          <w:bottom w:w="0" w:type="dxa"/>
          <w:right w:w="108" w:type="dxa"/>
        </w:tblCellMar>
      </w:tblPr>
      <w:tblGrid>
        <w:gridCol w:w="1845"/>
        <w:gridCol w:w="1254"/>
        <w:gridCol w:w="2780"/>
        <w:gridCol w:w="3696"/>
      </w:tblGrid>
      <w:tr>
        <w:tblPrEx>
          <w:tblLayout w:type="fixed"/>
          <w:tblCellMar>
            <w:top w:w="0" w:type="dxa"/>
            <w:left w:w="108" w:type="dxa"/>
            <w:bottom w:w="0" w:type="dxa"/>
            <w:right w:w="108" w:type="dxa"/>
          </w:tblCellMar>
        </w:tblPrEx>
        <w:trPr>
          <w:trHeight w:val="503" w:hRule="atLeast"/>
          <w:jc w:val="center"/>
        </w:trPr>
        <w:tc>
          <w:tcPr>
            <w:tcW w:w="309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b/>
                <w:bCs/>
                <w:color w:val="444444"/>
                <w:kern w:val="0"/>
                <w:sz w:val="24"/>
                <w:szCs w:val="24"/>
              </w:rPr>
              <w:t>任    务</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b/>
                <w:bCs/>
                <w:color w:val="444444"/>
                <w:kern w:val="0"/>
                <w:sz w:val="24"/>
                <w:szCs w:val="24"/>
              </w:rPr>
              <w:t>牵头部门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b/>
                <w:bCs/>
                <w:color w:val="444444"/>
                <w:kern w:val="0"/>
                <w:sz w:val="24"/>
                <w:szCs w:val="24"/>
              </w:rPr>
              <w:t>主要成果形式和完成时间</w:t>
            </w:r>
          </w:p>
        </w:tc>
      </w:tr>
      <w:tr>
        <w:tblPrEx>
          <w:tblLayout w:type="fixed"/>
          <w:tblCellMar>
            <w:top w:w="0" w:type="dxa"/>
            <w:left w:w="108" w:type="dxa"/>
            <w:bottom w:w="0" w:type="dxa"/>
            <w:right w:w="108" w:type="dxa"/>
          </w:tblCellMar>
        </w:tblPrEx>
        <w:trPr>
          <w:trHeight w:val="2670" w:hRule="atLeast"/>
          <w:jc w:val="center"/>
        </w:trPr>
        <w:tc>
          <w:tcPr>
            <w:tcW w:w="1845" w:type="dxa"/>
            <w:vMerge w:val="restart"/>
            <w:tcBorders>
              <w:top w:val="nil"/>
              <w:left w:val="single" w:color="000000" w:sz="4" w:space="0"/>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一、培育壮大绿色技术创新主体</w:t>
            </w: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1.强化企业的绿色技术创新主体地位</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1.实施绿色技术创新“十百千”行动（2019-2022年）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2.开展绿色技术创新企业认定（2019-2022年）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2.激发高校、科研院所绿色技术创新活力</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科技部、教育部、财政部、人力资源社会保障部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3.完善促进高校、科研院所绿色技术创新和成果转化的政策措施（2020年）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4.设立一批绿色技术创新人才培养基地（2019-2022年）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5.开展职业教育机构绿色技术专业教育试点（2019-2022年）</w:t>
            </w:r>
          </w:p>
        </w:tc>
      </w:tr>
      <w:tr>
        <w:tblPrEx>
          <w:tblLayout w:type="fixed"/>
          <w:tblCellMar>
            <w:top w:w="0" w:type="dxa"/>
            <w:left w:w="108" w:type="dxa"/>
            <w:bottom w:w="0" w:type="dxa"/>
            <w:right w:w="108" w:type="dxa"/>
          </w:tblCellMar>
        </w:tblPrEx>
        <w:trPr>
          <w:trHeight w:val="3300"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3.推进“产学研金介”深度融合</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科技部、教育部、农业农村部、人力资源社会保障部、国家发展改革委、国家能源局</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6.推动龙头企业整合高校、科研院所、产业园区、金融机构、中介机构等力量建立联合体（2019-2022年）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7.完善促进和规范绿色技术创新人才流动的相关政策（2020年）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8.推动组建一批绿色技术创新联盟（2019-2022年）</w:t>
            </w:r>
          </w:p>
        </w:tc>
      </w:tr>
      <w:tr>
        <w:tblPrEx>
          <w:tblLayout w:type="fixed"/>
          <w:tblCellMar>
            <w:top w:w="0" w:type="dxa"/>
            <w:left w:w="108" w:type="dxa"/>
            <w:bottom w:w="0" w:type="dxa"/>
            <w:right w:w="108" w:type="dxa"/>
          </w:tblCellMar>
        </w:tblPrEx>
        <w:trPr>
          <w:trHeight w:val="57" w:hRule="atLeast"/>
          <w:jc w:val="center"/>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ascii="宋体" w:hAnsi="宋体" w:eastAsia="宋体" w:cs="宋体"/>
                <w:color w:val="444444"/>
                <w:kern w:val="0"/>
                <w:sz w:val="18"/>
                <w:szCs w:val="18"/>
              </w:rPr>
            </w:pPr>
            <w:r>
              <w:rPr>
                <w:rFonts w:hint="eastAsia" w:ascii="宋体" w:hAnsi="宋体" w:eastAsia="宋体" w:cs="宋体"/>
                <w:color w:val="444444"/>
                <w:kern w:val="0"/>
                <w:szCs w:val="21"/>
              </w:rPr>
              <w:t>4.加强绿色技术创新基地平台建设</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9.在绿色技术领域培育建设一批国家工程研究中心、国家技术创新中心、国家科技资源共享服务平台等创新基地（2019-2022年）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10.在全国建设基础性长期性野外生态观测研究站等科研监测观测网络和一批科学数据中心（2019-2022年）</w:t>
            </w:r>
          </w:p>
        </w:tc>
      </w:tr>
      <w:tr>
        <w:tblPrEx>
          <w:tblLayout w:type="fixed"/>
          <w:tblCellMar>
            <w:top w:w="0" w:type="dxa"/>
            <w:left w:w="108" w:type="dxa"/>
            <w:bottom w:w="0" w:type="dxa"/>
            <w:right w:w="108" w:type="dxa"/>
          </w:tblCellMar>
        </w:tblPrEx>
        <w:trPr>
          <w:trHeight w:val="57" w:hRule="atLeast"/>
          <w:jc w:val="center"/>
        </w:trPr>
        <w:tc>
          <w:tcPr>
            <w:tcW w:w="1845" w:type="dxa"/>
            <w:vMerge w:val="restart"/>
            <w:tcBorders>
              <w:top w:val="nil"/>
              <w:left w:val="single" w:color="000000" w:sz="4" w:space="0"/>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二、加强绿色技术创新的导向机制</w:t>
            </w: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5.加强绿色技术创新方向引导</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国家发展改革委、科技部、住房城乡建设部、生态环境部、工业和信息化部、自然资源部、水利部、农业农村部、国家能源局、国家林草局</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11.发布绿色技术产业指导目录、绿色技术推广目录、绿色技术与装备淘汰目录（2020年）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12.实施一批绿色技术创新重大工程和项目（2019-2022年）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13.健全绿色技术创新科研管理机制（2019-2022年）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6.强化绿色技术标准引领</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市场监管总局、科技部、国家发展改革委、生态环境部、住房城乡建设部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14.征集并下达重点领域绿色技术标准制修订专项计划（2019年）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15.制修订一批节能节水、污染物排放等强制性标准并不断更新（2018-2022年）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16.开展绿色技术评估和效果验证（2019年）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7.建立健全政府绿色采购制度</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财政部、国家发展改革委、科技部、生态环境部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17.扩大政府绿色采购范围（2020年）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18.政府购买绿色技术向社会免费推广（2019-2022年）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8.推进绿色技术创新评价和认证</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工业和信息化部、市场监管总局、国家发展改革委、住房城乡建设部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19.组织制定绿色（生态）设计产品评价技术规范（2019-2020年）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20.建立家电、汽车、建材等产品全生命周期和全产业链绿色认证管理制度（2020年）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21.开展绿色工厂建设示范（2019-2022年）</w:t>
            </w:r>
          </w:p>
        </w:tc>
      </w:tr>
      <w:tr>
        <w:tblPrEx>
          <w:tblLayout w:type="fixed"/>
          <w:tblCellMar>
            <w:top w:w="0" w:type="dxa"/>
            <w:left w:w="108" w:type="dxa"/>
            <w:bottom w:w="0" w:type="dxa"/>
            <w:right w:w="108" w:type="dxa"/>
          </w:tblCellMar>
        </w:tblPrEx>
        <w:trPr>
          <w:trHeight w:val="57" w:hRule="atLeast"/>
          <w:jc w:val="center"/>
        </w:trPr>
        <w:tc>
          <w:tcPr>
            <w:tcW w:w="1845" w:type="dxa"/>
            <w:vMerge w:val="restart"/>
            <w:tcBorders>
              <w:top w:val="nil"/>
              <w:left w:val="single" w:color="000000" w:sz="4" w:space="0"/>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三、推进绿色技术创新成果转化示范应用</w:t>
            </w: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9.建立健全绿色技术转移转化市场交易体系</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科技部、国家发展改革委、中国证监会</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22.建立国家绿色技术交易市场（2020年）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23.健全规范绿色技术交易市场的相关制度（2020年）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24.培育绿色技术交易中介机构（2019-2022年）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10.完善绿色技术创新成果转化机制</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科技部、国家发展改革委、工业和信息化部、住房城乡建设部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25.落实首台（套）重大技术装备示范应用政策措施（2020年）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26.实施一批国家科技成果转化引导基金支持绿色技术创新成果转化应用项目（2019-2022年）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11.强化绿色技术创新转移转化综合示范</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科技部、国家发展改革委、住房城乡建设部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27.建立一批绿色技术创新综合示范区、“园中园”、绿色生态城市（2019-2022年）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28.制定绿色技术创新示范区考核评价办法（2020年）</w:t>
            </w:r>
          </w:p>
        </w:tc>
      </w:tr>
      <w:tr>
        <w:tblPrEx>
          <w:tblLayout w:type="fixed"/>
          <w:tblCellMar>
            <w:top w:w="0" w:type="dxa"/>
            <w:left w:w="108" w:type="dxa"/>
            <w:bottom w:w="0" w:type="dxa"/>
            <w:right w:w="108" w:type="dxa"/>
          </w:tblCellMar>
        </w:tblPrEx>
        <w:trPr>
          <w:trHeight w:val="57" w:hRule="atLeast"/>
          <w:jc w:val="center"/>
        </w:trPr>
        <w:tc>
          <w:tcPr>
            <w:tcW w:w="1845" w:type="dxa"/>
            <w:vMerge w:val="restart"/>
            <w:tcBorders>
              <w:top w:val="nil"/>
              <w:left w:val="single" w:color="000000" w:sz="4" w:space="0"/>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四、优化绿色技术创新环境</w:t>
            </w: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12.强化绿色技术知识产权保护与服务</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国家知识产权局</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29.组织开展打击侵犯绿色技术知识产权专项行动（2019-2022年）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30.建立绿色技术知识产权侵权行为信用管理制度（2020年）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31.推进建立绿色技术知识产权审查“快速通道”（2020年）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32.完善绿色技术知识产权统计监测（2019-2022年）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13.加强绿色技术创新金融支持</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中国人民银行、国家发展改革委、中国银保监会、中国证监会</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33.制定公募和私募基金绿色投资标准和行为指引（2020年）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34.加大对绿色技术创新的金融支持力度（2019-2022年）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14.推进全社会绿色技术创新</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科技部、国家发展改革委、生态环境部、住房城乡建设部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35.组织绿色技术创新创业大赛（2019-2022年）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36.建立一批绿色技术众创空间（2019-2022年）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37.推广绿色技术创新典型案例（2019-2022年）</w:t>
            </w:r>
          </w:p>
        </w:tc>
      </w:tr>
      <w:tr>
        <w:tblPrEx>
          <w:tblLayout w:type="fixed"/>
          <w:tblCellMar>
            <w:top w:w="0" w:type="dxa"/>
            <w:left w:w="108" w:type="dxa"/>
            <w:bottom w:w="0" w:type="dxa"/>
            <w:right w:w="108" w:type="dxa"/>
          </w:tblCellMar>
        </w:tblPrEx>
        <w:trPr>
          <w:trHeight w:val="57" w:hRule="atLeast"/>
          <w:jc w:val="center"/>
        </w:trPr>
        <w:tc>
          <w:tcPr>
            <w:tcW w:w="1845" w:type="dxa"/>
            <w:vMerge w:val="restart"/>
            <w:tcBorders>
              <w:top w:val="nil"/>
              <w:left w:val="single" w:color="000000" w:sz="4" w:space="0"/>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五、加强绿色技术创新对外开放与国际合作</w:t>
            </w: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15.深化绿色技术创新国际合作</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科技部、国家发展改革委、生态环境部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38.建立“一带一路”绿色技术创新联盟（2020年）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39.通过博览会、论坛等形式促进绿色技术国际传播（2019-2022年）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40.开展国际十大最佳绿色技术和十大最佳绿色技术应用实践（“双十佳”）评选（2019-2022年）</w:t>
            </w:r>
          </w:p>
        </w:tc>
      </w:tr>
      <w:tr>
        <w:tblPrEx>
          <w:tblLayout w:type="fixed"/>
          <w:tblCellMar>
            <w:top w:w="0" w:type="dxa"/>
            <w:left w:w="108" w:type="dxa"/>
            <w:bottom w:w="0" w:type="dxa"/>
            <w:right w:w="108" w:type="dxa"/>
          </w:tblCellMar>
        </w:tblPrEx>
        <w:trPr>
          <w:trHeight w:val="57" w:hRule="atLeast"/>
          <w:jc w:val="center"/>
        </w:trPr>
        <w:tc>
          <w:tcPr>
            <w:tcW w:w="184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444444"/>
                <w:kern w:val="0"/>
                <w:sz w:val="18"/>
                <w:szCs w:val="18"/>
              </w:rPr>
            </w:pP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16.加大绿色技术创新对外开放</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科技部、国家发展改革委、商务部、工业和信息化部、生态环境部、住房城乡建设部</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41.健全鼓励国外绿色技术成果在国内转化落地的政策（2020年）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42.采用“园中园”模式在国家级经济技术开发区等建设国际合作生态园区（2020年）</w:t>
            </w:r>
          </w:p>
        </w:tc>
      </w:tr>
      <w:tr>
        <w:tblPrEx>
          <w:tblLayout w:type="fixed"/>
          <w:tblCellMar>
            <w:top w:w="0" w:type="dxa"/>
            <w:left w:w="108" w:type="dxa"/>
            <w:bottom w:w="0" w:type="dxa"/>
            <w:right w:w="108" w:type="dxa"/>
          </w:tblCellMar>
        </w:tblPrEx>
        <w:trPr>
          <w:trHeight w:val="57" w:hRule="atLeast"/>
          <w:jc w:val="center"/>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六、加强组织实施</w:t>
            </w:r>
          </w:p>
        </w:tc>
        <w:tc>
          <w:tcPr>
            <w:tcW w:w="1254" w:type="dxa"/>
            <w:tcBorders>
              <w:top w:val="single" w:color="000000" w:sz="4" w:space="0"/>
              <w:left w:val="nil"/>
              <w:bottom w:val="single" w:color="000000" w:sz="4" w:space="0"/>
              <w:right w:val="single" w:color="000000" w:sz="4" w:space="0"/>
            </w:tcBorders>
            <w:vAlign w:val="center"/>
          </w:tcPr>
          <w:p>
            <w:pPr>
              <w:widowControl/>
              <w:spacing w:line="525" w:lineRule="atLeast"/>
              <w:jc w:val="left"/>
              <w:rPr>
                <w:rFonts w:hint="eastAsia" w:ascii="宋体" w:hAnsi="宋体" w:eastAsia="宋体" w:cs="宋体"/>
                <w:color w:val="444444"/>
                <w:kern w:val="0"/>
                <w:sz w:val="18"/>
                <w:szCs w:val="18"/>
              </w:rPr>
            </w:pPr>
            <w:r>
              <w:rPr>
                <w:rFonts w:hint="eastAsia" w:ascii="宋体" w:hAnsi="宋体" w:eastAsia="宋体" w:cs="宋体"/>
                <w:color w:val="444444"/>
                <w:kern w:val="0"/>
                <w:szCs w:val="21"/>
              </w:rPr>
              <w:t>17.加强统筹协调和考核评价</w:t>
            </w:r>
          </w:p>
        </w:tc>
        <w:tc>
          <w:tcPr>
            <w:tcW w:w="2780"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科技部、国家发展改革委</w:t>
            </w:r>
          </w:p>
        </w:tc>
        <w:tc>
          <w:tcPr>
            <w:tcW w:w="3696" w:type="dxa"/>
            <w:tcBorders>
              <w:top w:val="single" w:color="000000" w:sz="4" w:space="0"/>
              <w:left w:val="nil"/>
              <w:bottom w:val="single" w:color="000000" w:sz="4" w:space="0"/>
              <w:right w:val="single" w:color="000000" w:sz="4" w:space="0"/>
            </w:tcBorders>
            <w:vAlign w:val="center"/>
          </w:tcPr>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43.建立绿色技术创新部际协调机制（2019年）</w:t>
            </w:r>
          </w:p>
          <w:p>
            <w:pPr>
              <w:widowControl/>
              <w:spacing w:line="525" w:lineRule="atLeast"/>
              <w:jc w:val="center"/>
              <w:rPr>
                <w:rFonts w:hint="eastAsia" w:ascii="宋体" w:hAnsi="宋体" w:eastAsia="宋体" w:cs="宋体"/>
                <w:color w:val="444444"/>
                <w:kern w:val="0"/>
                <w:sz w:val="18"/>
                <w:szCs w:val="18"/>
              </w:rPr>
            </w:pPr>
            <w:r>
              <w:rPr>
                <w:rFonts w:hint="eastAsia" w:ascii="宋体" w:hAnsi="宋体" w:eastAsia="宋体" w:cs="宋体"/>
                <w:color w:val="444444"/>
                <w:kern w:val="0"/>
                <w:szCs w:val="21"/>
              </w:rPr>
              <w:t>44.开展绿色技术创新政策绩效评估，将绿色技术创新有关内容纳入创新驱动、生态文明等考核体系（2020年）</w:t>
            </w:r>
          </w:p>
        </w:tc>
      </w:tr>
    </w:tbl>
    <w:p>
      <w:r>
        <w:rPr>
          <w:rFonts w:hint="eastAsia" w:ascii="宋体" w:hAnsi="宋体" w:eastAsia="宋体" w:cs="宋体"/>
          <w:color w:val="333333"/>
          <w:kern w:val="0"/>
          <w:szCs w:val="21"/>
        </w:rPr>
        <w:t>注：牵头部门根据职责分工负责，参加部门由牵头部门确定。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B1"/>
    <w:rsid w:val="002A63B1"/>
    <w:rsid w:val="00FB43B1"/>
    <w:rsid w:val="577E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363</Words>
  <Characters>2071</Characters>
  <Lines>17</Lines>
  <Paragraphs>4</Paragraphs>
  <TotalTime>6</TotalTime>
  <ScaleCrop>false</ScaleCrop>
  <LinksUpToDate>false</LinksUpToDate>
  <CharactersWithSpaces>2430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2019-07-22T05:56:00Z</dcterms:created>
  <dc:creator>丁涛</dc:creator>
  <cp:lastModifiedBy>简单点</cp:lastModifiedBy>
  <dcterms:modified xsi:type="dcterms:W3CDTF">2019-07-22T06:03:22Z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